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1C5" w14:textId="7868CEC0" w:rsidR="00860D80" w:rsidRDefault="00860D80" w:rsidP="00447847">
      <w:pPr>
        <w:tabs>
          <w:tab w:val="left" w:pos="1080"/>
          <w:tab w:val="left" w:pos="2160"/>
        </w:tabs>
        <w:jc w:val="center"/>
      </w:pPr>
      <w:r w:rsidRPr="00447847">
        <w:rPr>
          <w:b/>
          <w:u w:val="single"/>
        </w:rPr>
        <w:t>News Report</w:t>
      </w:r>
      <w:r w:rsidRPr="0091273D">
        <w:rPr>
          <w:b/>
        </w:rPr>
        <w:t>: Success Story II</w:t>
      </w:r>
      <w:r>
        <w:rPr>
          <w:b/>
        </w:rPr>
        <w:t>I</w:t>
      </w:r>
    </w:p>
    <w:p w14:paraId="7BD5E53E" w14:textId="77777777" w:rsidR="00860D80" w:rsidRDefault="00860D80" w:rsidP="00860D80">
      <w:pPr>
        <w:tabs>
          <w:tab w:val="left" w:pos="1080"/>
          <w:tab w:val="left" w:pos="2160"/>
        </w:tabs>
        <w:rPr>
          <w:b/>
        </w:rPr>
      </w:pPr>
    </w:p>
    <w:p w14:paraId="729B13F3" w14:textId="77777777" w:rsidR="00332D9F" w:rsidRPr="00E602E7" w:rsidRDefault="00332D9F" w:rsidP="00332D9F">
      <w:pPr>
        <w:shd w:val="clear" w:color="auto" w:fill="FFFFFF"/>
        <w:jc w:val="center"/>
        <w:textAlignment w:val="baseline"/>
        <w:outlineLvl w:val="1"/>
        <w:rPr>
          <w:b/>
          <w:bCs/>
          <w:color w:val="1F3864" w:themeColor="accent1" w:themeShade="80"/>
          <w:sz w:val="28"/>
          <w:szCs w:val="28"/>
          <w:bdr w:val="none" w:sz="0" w:space="0" w:color="auto" w:frame="1"/>
        </w:rPr>
      </w:pPr>
      <w:bookmarkStart w:id="0" w:name="_GoBack"/>
      <w:r w:rsidRPr="00E602E7">
        <w:rPr>
          <w:b/>
          <w:bCs/>
          <w:color w:val="1F3864" w:themeColor="accent1" w:themeShade="80"/>
          <w:sz w:val="28"/>
          <w:szCs w:val="28"/>
          <w:bdr w:val="none" w:sz="0" w:space="0" w:color="auto" w:frame="1"/>
        </w:rPr>
        <w:t>Global Online Certification Course on Data-Driven Supply Chain Transformation 2022</w:t>
      </w:r>
    </w:p>
    <w:bookmarkEnd w:id="0"/>
    <w:p w14:paraId="425942CB" w14:textId="77777777" w:rsidR="00332D9F" w:rsidRPr="005C0B31" w:rsidRDefault="00332D9F" w:rsidP="00332D9F">
      <w:pPr>
        <w:shd w:val="clear" w:color="auto" w:fill="FFFFFF"/>
        <w:jc w:val="both"/>
        <w:textAlignment w:val="baseline"/>
      </w:pPr>
    </w:p>
    <w:p w14:paraId="24485712" w14:textId="77777777" w:rsidR="001C37B4" w:rsidRPr="003C414F" w:rsidRDefault="001C37B4" w:rsidP="001C37B4">
      <w:pPr>
        <w:pStyle w:val="ListParagraph"/>
        <w:numPr>
          <w:ilvl w:val="0"/>
          <w:numId w:val="8"/>
        </w:numPr>
        <w:tabs>
          <w:tab w:val="left" w:pos="1080"/>
          <w:tab w:val="left" w:pos="2160"/>
        </w:tabs>
      </w:pPr>
      <w:r w:rsidRPr="003C414F">
        <w:t xml:space="preserve">A lecture series titled “Supply Chain Management” by Prof. David </w:t>
      </w:r>
      <w:proofErr w:type="spellStart"/>
      <w:r w:rsidRPr="003C414F">
        <w:t>Simchi</w:t>
      </w:r>
      <w:proofErr w:type="spellEnd"/>
      <w:r w:rsidRPr="003C414F">
        <w:t>-Levi, MIT, USA was conducted jointly by I-DAPT Hub Foundation and NITIE, Mumbai.</w:t>
      </w:r>
    </w:p>
    <w:p w14:paraId="06410F41" w14:textId="77777777" w:rsidR="001C37B4" w:rsidRPr="001C37B4" w:rsidRDefault="001C37B4" w:rsidP="001C37B4">
      <w:pPr>
        <w:pStyle w:val="ListParagraph"/>
        <w:tabs>
          <w:tab w:val="left" w:pos="1080"/>
          <w:tab w:val="left" w:pos="2160"/>
        </w:tabs>
        <w:rPr>
          <w:b/>
        </w:rPr>
      </w:pPr>
      <w:r>
        <w:rPr>
          <w:noProof/>
          <w:lang w:val="en-IN"/>
        </w:rPr>
        <w:drawing>
          <wp:inline distT="0" distB="0" distL="0" distR="0" wp14:anchorId="08F2EF8F" wp14:editId="6ADCE43D">
            <wp:extent cx="3627755" cy="1538740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20" cy="154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IN"/>
        </w:rPr>
        <w:drawing>
          <wp:inline distT="0" distB="0" distL="0" distR="0" wp14:anchorId="372CE734" wp14:editId="50AE9739">
            <wp:extent cx="1579245" cy="1591310"/>
            <wp:effectExtent l="0" t="0" r="190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AAFE6" w14:textId="77777777" w:rsidR="001C37B4" w:rsidRDefault="001C37B4" w:rsidP="001C37B4">
      <w:pPr>
        <w:pStyle w:val="ListParagraph"/>
        <w:shd w:val="clear" w:color="auto" w:fill="FFFFFF"/>
        <w:contextualSpacing w:val="0"/>
        <w:jc w:val="both"/>
        <w:textAlignment w:val="baseline"/>
        <w:rPr>
          <w:bdr w:val="none" w:sz="0" w:space="0" w:color="auto" w:frame="1"/>
        </w:rPr>
      </w:pPr>
    </w:p>
    <w:p w14:paraId="756446C6" w14:textId="749CFC7E" w:rsidR="00332D9F" w:rsidRDefault="001C37B4" w:rsidP="00332D9F">
      <w:pPr>
        <w:pStyle w:val="ListParagraph"/>
        <w:numPr>
          <w:ilvl w:val="0"/>
          <w:numId w:val="8"/>
        </w:numPr>
        <w:shd w:val="clear" w:color="auto" w:fill="FFFFFF"/>
        <w:contextualSpacing w:val="0"/>
        <w:jc w:val="both"/>
        <w:textAlignment w:val="baseline"/>
        <w:rPr>
          <w:bdr w:val="none" w:sz="0" w:space="0" w:color="auto" w:frame="1"/>
        </w:rPr>
      </w:pPr>
      <w:r w:rsidRPr="009752F9">
        <w:rPr>
          <w:bdr w:val="none" w:sz="0" w:space="0" w:color="auto" w:frame="1"/>
        </w:rPr>
        <w:t>IIT (BHU), Varanasi</w:t>
      </w:r>
      <w:r w:rsidR="00BE357A">
        <w:rPr>
          <w:bdr w:val="none" w:sz="0" w:space="0" w:color="auto" w:frame="1"/>
        </w:rPr>
        <w:t>,</w:t>
      </w:r>
      <w:r w:rsidRPr="009752F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and </w:t>
      </w:r>
      <w:r w:rsidR="00332D9F" w:rsidRPr="009752F9">
        <w:rPr>
          <w:bdr w:val="none" w:sz="0" w:space="0" w:color="auto" w:frame="1"/>
        </w:rPr>
        <w:t>NITIE, Mumbai</w:t>
      </w:r>
      <w:r w:rsidR="00332D9F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jointly organized </w:t>
      </w:r>
      <w:r w:rsidR="00332D9F" w:rsidRPr="009752F9">
        <w:rPr>
          <w:bdr w:val="none" w:sz="0" w:space="0" w:color="auto" w:frame="1"/>
        </w:rPr>
        <w:t xml:space="preserve">the Global Online Certification Course on 'Data-Driven Supply Chain Transformation 2022' in association with Prof. David </w:t>
      </w:r>
      <w:proofErr w:type="spellStart"/>
      <w:r w:rsidR="00332D9F" w:rsidRPr="009752F9">
        <w:rPr>
          <w:bdr w:val="none" w:sz="0" w:space="0" w:color="auto" w:frame="1"/>
        </w:rPr>
        <w:t>Simchi</w:t>
      </w:r>
      <w:proofErr w:type="spellEnd"/>
      <w:r w:rsidR="00332D9F" w:rsidRPr="009752F9">
        <w:rPr>
          <w:bdr w:val="none" w:sz="0" w:space="0" w:color="auto" w:frame="1"/>
        </w:rPr>
        <w:t xml:space="preserve">-Levi (MIT, USA) under the leadership of Prof. </w:t>
      </w:r>
      <w:proofErr w:type="spellStart"/>
      <w:r w:rsidR="00332D9F" w:rsidRPr="009752F9">
        <w:rPr>
          <w:bdr w:val="none" w:sz="0" w:space="0" w:color="auto" w:frame="1"/>
        </w:rPr>
        <w:t>Manoj</w:t>
      </w:r>
      <w:proofErr w:type="spellEnd"/>
      <w:r w:rsidR="00332D9F" w:rsidRPr="009752F9">
        <w:rPr>
          <w:bdr w:val="none" w:sz="0" w:space="0" w:color="auto" w:frame="1"/>
        </w:rPr>
        <w:t xml:space="preserve"> K. Tiwari (Director, NITIE Mumbai) and Prof. </w:t>
      </w:r>
      <w:proofErr w:type="spellStart"/>
      <w:r w:rsidR="00332D9F" w:rsidRPr="009752F9">
        <w:rPr>
          <w:bdr w:val="none" w:sz="0" w:space="0" w:color="auto" w:frame="1"/>
        </w:rPr>
        <w:t>Pramod</w:t>
      </w:r>
      <w:proofErr w:type="spellEnd"/>
      <w:r w:rsidR="00332D9F" w:rsidRPr="009752F9">
        <w:rPr>
          <w:bdr w:val="none" w:sz="0" w:space="0" w:color="auto" w:frame="1"/>
        </w:rPr>
        <w:t xml:space="preserve"> Kumar Jain (Director, IIT (BHU) Varanasi), to accelerate the vision of PM </w:t>
      </w:r>
      <w:proofErr w:type="spellStart"/>
      <w:r w:rsidR="00332D9F" w:rsidRPr="009752F9">
        <w:rPr>
          <w:bdr w:val="none" w:sz="0" w:space="0" w:color="auto" w:frame="1"/>
        </w:rPr>
        <w:t>Gati</w:t>
      </w:r>
      <w:proofErr w:type="spellEnd"/>
      <w:r w:rsidR="00332D9F" w:rsidRPr="009752F9">
        <w:rPr>
          <w:bdr w:val="none" w:sz="0" w:space="0" w:color="auto" w:frame="1"/>
        </w:rPr>
        <w:t xml:space="preserve"> Shakti.  </w:t>
      </w:r>
    </w:p>
    <w:p w14:paraId="22FC22C0" w14:textId="18C588D3" w:rsidR="00332D9F" w:rsidRDefault="00332D9F" w:rsidP="00332D9F">
      <w:pPr>
        <w:pStyle w:val="ListParagraph"/>
        <w:numPr>
          <w:ilvl w:val="0"/>
          <w:numId w:val="8"/>
        </w:numPr>
        <w:shd w:val="clear" w:color="auto" w:fill="FFFFFF"/>
        <w:contextualSpacing w:val="0"/>
        <w:jc w:val="both"/>
        <w:textAlignment w:val="baseline"/>
        <w:rPr>
          <w:bdr w:val="none" w:sz="0" w:space="0" w:color="auto" w:frame="1"/>
        </w:rPr>
      </w:pPr>
      <w:r w:rsidRPr="009752F9">
        <w:rPr>
          <w:bdr w:val="none" w:sz="0" w:space="0" w:color="auto" w:frame="1"/>
        </w:rPr>
        <w:t>The thirty-hour course was conducted from 16</w:t>
      </w:r>
      <w:r w:rsidRPr="009752F9">
        <w:rPr>
          <w:bdr w:val="none" w:sz="0" w:space="0" w:color="auto" w:frame="1"/>
          <w:vertAlign w:val="superscript"/>
        </w:rPr>
        <w:t>th</w:t>
      </w:r>
      <w:r w:rsidRPr="009752F9">
        <w:rPr>
          <w:bdr w:val="none" w:sz="0" w:space="0" w:color="auto" w:frame="1"/>
        </w:rPr>
        <w:t xml:space="preserve"> July 2022 to 21</w:t>
      </w:r>
      <w:r w:rsidRPr="009752F9">
        <w:rPr>
          <w:bdr w:val="none" w:sz="0" w:space="0" w:color="auto" w:frame="1"/>
          <w:vertAlign w:val="superscript"/>
        </w:rPr>
        <w:t>st</w:t>
      </w:r>
      <w:r w:rsidRPr="009752F9">
        <w:rPr>
          <w:bdr w:val="none" w:sz="0" w:space="0" w:color="auto" w:frame="1"/>
        </w:rPr>
        <w:t xml:space="preserve"> August 2022 on </w:t>
      </w:r>
      <w:r w:rsidR="00BE357A">
        <w:rPr>
          <w:bdr w:val="none" w:sz="0" w:space="0" w:color="auto" w:frame="1"/>
        </w:rPr>
        <w:t xml:space="preserve">a </w:t>
      </w:r>
      <w:r w:rsidRPr="009752F9">
        <w:rPr>
          <w:bdr w:val="none" w:sz="0" w:space="0" w:color="auto" w:frame="1"/>
        </w:rPr>
        <w:t xml:space="preserve">weekend, in collaboration with I-DAPT Hub Foundation, IIT (BHU), and </w:t>
      </w:r>
      <w:proofErr w:type="spellStart"/>
      <w:r w:rsidRPr="009752F9">
        <w:rPr>
          <w:bdr w:val="none" w:sz="0" w:space="0" w:color="auto" w:frame="1"/>
        </w:rPr>
        <w:t>CoE</w:t>
      </w:r>
      <w:proofErr w:type="spellEnd"/>
      <w:r w:rsidRPr="009752F9">
        <w:rPr>
          <w:bdr w:val="none" w:sz="0" w:space="0" w:color="auto" w:frame="1"/>
        </w:rPr>
        <w:t xml:space="preserve"> Logistics &amp; Supply Chain Management, NITIE, under the mission of PM </w:t>
      </w:r>
      <w:proofErr w:type="spellStart"/>
      <w:r w:rsidRPr="009752F9">
        <w:rPr>
          <w:bdr w:val="none" w:sz="0" w:space="0" w:color="auto" w:frame="1"/>
        </w:rPr>
        <w:t>Gati</w:t>
      </w:r>
      <w:proofErr w:type="spellEnd"/>
      <w:r w:rsidRPr="009752F9">
        <w:rPr>
          <w:bdr w:val="none" w:sz="0" w:space="0" w:color="auto" w:frame="1"/>
        </w:rPr>
        <w:t xml:space="preserve"> Shakti Scheme. </w:t>
      </w:r>
    </w:p>
    <w:p w14:paraId="3DCDED4D" w14:textId="77777777" w:rsidR="00332D9F" w:rsidRPr="009752F9" w:rsidRDefault="00332D9F" w:rsidP="00332D9F">
      <w:pPr>
        <w:pStyle w:val="ListParagraph"/>
        <w:numPr>
          <w:ilvl w:val="0"/>
          <w:numId w:val="8"/>
        </w:numPr>
        <w:shd w:val="clear" w:color="auto" w:fill="FFFFFF"/>
        <w:contextualSpacing w:val="0"/>
        <w:jc w:val="both"/>
        <w:textAlignment w:val="baseline"/>
        <w:rPr>
          <w:bdr w:val="none" w:sz="0" w:space="0" w:color="auto" w:frame="1"/>
        </w:rPr>
      </w:pPr>
      <w:r w:rsidRPr="009752F9">
        <w:rPr>
          <w:bdr w:val="none" w:sz="0" w:space="0" w:color="auto" w:frame="1"/>
        </w:rPr>
        <w:t>This course was promoted, operationalized, and managed completely in-house by the student teams of both institutes under the supervision of the faculty coordinators of both institutes.</w:t>
      </w:r>
    </w:p>
    <w:p w14:paraId="36E5B14F" w14:textId="77777777" w:rsidR="00B019B4" w:rsidRPr="005C0B31" w:rsidRDefault="00B019B4" w:rsidP="00332D9F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14:paraId="735F295C" w14:textId="77777777" w:rsidR="00332D9F" w:rsidRPr="001935CD" w:rsidRDefault="00332D9F" w:rsidP="00332D9F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1935CD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Course Focus comprised of:</w:t>
      </w:r>
    </w:p>
    <w:p w14:paraId="24C2B24C" w14:textId="77777777" w:rsidR="00332D9F" w:rsidRPr="005C0B31" w:rsidRDefault="00332D9F" w:rsidP="00332D9F">
      <w:pPr>
        <w:shd w:val="clear" w:color="auto" w:fill="FFFFFF"/>
        <w:jc w:val="both"/>
        <w:textAlignment w:val="baseline"/>
        <w:outlineLvl w:val="1"/>
      </w:pPr>
    </w:p>
    <w:p w14:paraId="5C3EDB75" w14:textId="77777777" w:rsidR="00332D9F" w:rsidRPr="005C0B31" w:rsidRDefault="00332D9F" w:rsidP="00332D9F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5C0B31">
        <w:rPr>
          <w:bdr w:val="none" w:sz="0" w:space="0" w:color="auto" w:frame="1"/>
        </w:rPr>
        <w:t>Supply Chain Trends</w:t>
      </w:r>
    </w:p>
    <w:p w14:paraId="72760D23" w14:textId="77777777" w:rsidR="00332D9F" w:rsidRPr="005C0B31" w:rsidRDefault="00332D9F" w:rsidP="00332D9F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5C0B31">
        <w:rPr>
          <w:bdr w:val="none" w:sz="0" w:space="0" w:color="auto" w:frame="1"/>
        </w:rPr>
        <w:t>Supply Chain Competency</w:t>
      </w:r>
    </w:p>
    <w:p w14:paraId="35E2FEA9" w14:textId="77777777" w:rsidR="00332D9F" w:rsidRPr="005C0B31" w:rsidRDefault="00332D9F" w:rsidP="00332D9F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5C0B31">
        <w:rPr>
          <w:bdr w:val="none" w:sz="0" w:space="0" w:color="auto" w:frame="1"/>
        </w:rPr>
        <w:t>Machine Learning based technology</w:t>
      </w:r>
    </w:p>
    <w:p w14:paraId="6050787A" w14:textId="1CFB61C0" w:rsidR="00332D9F" w:rsidRPr="00A017EA" w:rsidRDefault="00332D9F" w:rsidP="00332D9F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5C0B31">
        <w:rPr>
          <w:bdr w:val="none" w:sz="0" w:space="0" w:color="auto" w:frame="1"/>
        </w:rPr>
        <w:t>Digital Supply Chain transformation</w:t>
      </w:r>
    </w:p>
    <w:p w14:paraId="72E1CB0E" w14:textId="08AE63B6" w:rsidR="00A017EA" w:rsidRPr="00666E77" w:rsidRDefault="00A017EA" w:rsidP="00A017EA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Course content</w:t>
      </w:r>
    </w:p>
    <w:p w14:paraId="3F65DD95" w14:textId="77777777" w:rsidR="00786C47" w:rsidRPr="00666E77" w:rsidRDefault="00786C47" w:rsidP="00786C47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Week I</w:t>
      </w:r>
    </w:p>
    <w:p w14:paraId="41F260A4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Introduction and Course Overview</w:t>
      </w:r>
    </w:p>
    <w:p w14:paraId="0A72404F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Customer Value and Operations Strategy</w:t>
      </w:r>
    </w:p>
    <w:p w14:paraId="5C19CA2C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Controlling the Bullwhip and value of Information</w:t>
      </w:r>
    </w:p>
    <w:p w14:paraId="646DF205" w14:textId="77777777" w:rsidR="00786C47" w:rsidRPr="00666E77" w:rsidRDefault="00786C47" w:rsidP="00786C47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Week II</w:t>
      </w:r>
    </w:p>
    <w:p w14:paraId="68EA8334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Supply Chain Integration: Push-Pull and Complexity Reduction</w:t>
      </w:r>
    </w:p>
    <w:p w14:paraId="07B8567C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Supply Chain Segmentation</w:t>
      </w:r>
    </w:p>
    <w:p w14:paraId="45DA7870" w14:textId="77777777" w:rsidR="00786C47" w:rsidRPr="00666E77" w:rsidRDefault="00786C47" w:rsidP="00786C47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Week III</w:t>
      </w:r>
    </w:p>
    <w:p w14:paraId="694B2CAA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Using Big Data to Improve Operations</w:t>
      </w:r>
    </w:p>
    <w:p w14:paraId="03FD56A5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Applications in Retail, Manufacturing</w:t>
      </w:r>
    </w:p>
    <w:p w14:paraId="28F1A619" w14:textId="77777777" w:rsidR="00786C47" w:rsidRPr="00666E77" w:rsidRDefault="00786C47" w:rsidP="00786C47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lastRenderedPageBreak/>
        <w:t>Week IV</w:t>
      </w:r>
    </w:p>
    <w:p w14:paraId="597DE2B9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Supply Chain Resiliency</w:t>
      </w:r>
    </w:p>
    <w:p w14:paraId="4D6FC4A6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Supply Chain Flexibility</w:t>
      </w:r>
    </w:p>
    <w:p w14:paraId="53D7EE4B" w14:textId="77777777" w:rsidR="00786C47" w:rsidRPr="00666E77" w:rsidRDefault="00786C47" w:rsidP="00786C47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Week V</w:t>
      </w:r>
    </w:p>
    <w:p w14:paraId="1DDD92DB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Inventory Management and Risk Pooling Strategies</w:t>
      </w:r>
    </w:p>
    <w:p w14:paraId="5857ACB4" w14:textId="7C6800F5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Supply Contracts and Risk</w:t>
      </w:r>
      <w:r w:rsidR="009F1CC0">
        <w:rPr>
          <w:bdr w:val="none" w:sz="0" w:space="0" w:color="auto" w:frame="1"/>
        </w:rPr>
        <w:t>-</w:t>
      </w:r>
      <w:r w:rsidRPr="00B25595">
        <w:rPr>
          <w:bdr w:val="none" w:sz="0" w:space="0" w:color="auto" w:frame="1"/>
        </w:rPr>
        <w:t>Sharing Strategies</w:t>
      </w:r>
    </w:p>
    <w:p w14:paraId="36896ABB" w14:textId="77777777" w:rsidR="00786C47" w:rsidRPr="00666E77" w:rsidRDefault="00786C47" w:rsidP="00786C47">
      <w:pPr>
        <w:shd w:val="clear" w:color="auto" w:fill="FFFFFF"/>
        <w:jc w:val="both"/>
        <w:textAlignment w:val="baseline"/>
        <w:outlineLvl w:val="1"/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</w:pPr>
      <w:r w:rsidRPr="00666E77">
        <w:rPr>
          <w:b/>
          <w:bCs/>
          <w:iCs/>
          <w:color w:val="1F3864" w:themeColor="accent1" w:themeShade="80"/>
          <w:u w:val="single"/>
          <w:bdr w:val="none" w:sz="0" w:space="0" w:color="auto" w:frame="1"/>
        </w:rPr>
        <w:t>Week VI</w:t>
      </w:r>
    </w:p>
    <w:p w14:paraId="50D04CA4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Network Planning and the Green Supply Chain</w:t>
      </w:r>
    </w:p>
    <w:p w14:paraId="62191F12" w14:textId="77777777" w:rsidR="00786C47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IT and Business Processes</w:t>
      </w:r>
    </w:p>
    <w:p w14:paraId="2533FF95" w14:textId="78C9DA2A" w:rsidR="00A017EA" w:rsidRPr="00B25595" w:rsidRDefault="00786C47" w:rsidP="00B2559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B25595">
        <w:rPr>
          <w:bdr w:val="none" w:sz="0" w:space="0" w:color="auto" w:frame="1"/>
        </w:rPr>
        <w:t>Course Summary</w:t>
      </w:r>
    </w:p>
    <w:p w14:paraId="01218CD8" w14:textId="77777777" w:rsidR="001D7786" w:rsidRDefault="001D7786" w:rsidP="00860D80">
      <w:pPr>
        <w:tabs>
          <w:tab w:val="left" w:pos="1080"/>
          <w:tab w:val="left" w:pos="2160"/>
        </w:tabs>
      </w:pPr>
    </w:p>
    <w:p w14:paraId="24164EE7" w14:textId="77777777" w:rsidR="00284CB3" w:rsidRDefault="00284CB3" w:rsidP="00860D80">
      <w:pPr>
        <w:tabs>
          <w:tab w:val="left" w:pos="1080"/>
          <w:tab w:val="left" w:pos="2160"/>
        </w:tabs>
      </w:pPr>
    </w:p>
    <w:p w14:paraId="006711EC" w14:textId="77777777" w:rsidR="00284CB3" w:rsidRDefault="00284CB3" w:rsidP="00860D80">
      <w:pPr>
        <w:tabs>
          <w:tab w:val="left" w:pos="1080"/>
          <w:tab w:val="left" w:pos="2160"/>
        </w:tabs>
      </w:pPr>
    </w:p>
    <w:p w14:paraId="10436BCE" w14:textId="6F754B32" w:rsidR="00E82AC3" w:rsidRDefault="00E82AC3" w:rsidP="00860D80">
      <w:pPr>
        <w:tabs>
          <w:tab w:val="left" w:pos="1080"/>
          <w:tab w:val="left" w:pos="2160"/>
        </w:tabs>
      </w:pPr>
      <w:r w:rsidRPr="00B019B4">
        <w:rPr>
          <w:noProof/>
          <w:bdr w:val="none" w:sz="0" w:space="0" w:color="auto" w:frame="1"/>
          <w:lang w:val="en-IN"/>
        </w:rPr>
        <w:drawing>
          <wp:inline distT="0" distB="0" distL="0" distR="0" wp14:anchorId="5BC1D852" wp14:editId="46E13BFF">
            <wp:extent cx="5943600" cy="5746115"/>
            <wp:effectExtent l="0" t="0" r="0" b="6985"/>
            <wp:docPr id="1" name="Picture 1" descr="C:\Users\Lenovo\Downloads\IMG-202211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-20221130-WA0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CA5F" w14:textId="4A3E93F0" w:rsidR="00F66E3C" w:rsidRDefault="00323C8B" w:rsidP="00323C8B">
      <w:pPr>
        <w:tabs>
          <w:tab w:val="left" w:pos="1080"/>
          <w:tab w:val="left" w:pos="2160"/>
        </w:tabs>
        <w:jc w:val="both"/>
      </w:pPr>
      <w:r>
        <w:lastRenderedPageBreak/>
        <w:t xml:space="preserve">This course was open </w:t>
      </w:r>
      <w:r w:rsidR="00BE357A">
        <w:t>to</w:t>
      </w:r>
      <w:r>
        <w:t xml:space="preserve"> all academic and business people. Hence, we have received </w:t>
      </w:r>
      <w:r w:rsidR="00BE357A">
        <w:t xml:space="preserve">a </w:t>
      </w:r>
      <w:r>
        <w:t>huge response f</w:t>
      </w:r>
      <w:r w:rsidR="00BE357A">
        <w:t>rom</w:t>
      </w:r>
      <w:r>
        <w:t xml:space="preserve"> academia and industries. In total</w:t>
      </w:r>
      <w:r w:rsidR="00BE357A">
        <w:t>,</w:t>
      </w:r>
      <w:r>
        <w:t xml:space="preserve"> we have received 276 paid participa</w:t>
      </w:r>
      <w:r w:rsidR="00BE357A">
        <w:t>nts</w:t>
      </w:r>
      <w:r>
        <w:t xml:space="preserve"> f</w:t>
      </w:r>
      <w:r w:rsidR="00BE357A">
        <w:t>ro</w:t>
      </w:r>
      <w:r>
        <w:t>m academia and industries globally. Further, t</w:t>
      </w:r>
      <w:r w:rsidRPr="00323C8B">
        <w:t xml:space="preserve">his course was also open to the students of both institutes for free. </w:t>
      </w:r>
      <w:r w:rsidR="00BE357A">
        <w:t>A l</w:t>
      </w:r>
      <w:r w:rsidRPr="00323C8B">
        <w:t>arge number of students</w:t>
      </w:r>
      <w:r w:rsidR="00BE357A">
        <w:t>,</w:t>
      </w:r>
      <w:r w:rsidRPr="00323C8B">
        <w:t xml:space="preserve"> </w:t>
      </w:r>
      <w:r w:rsidR="00BE357A">
        <w:t xml:space="preserve">498 </w:t>
      </w:r>
      <w:r w:rsidRPr="00323C8B">
        <w:t xml:space="preserve">from IIT(BHU) and </w:t>
      </w:r>
      <w:r w:rsidR="00BE357A">
        <w:t xml:space="preserve">927 from </w:t>
      </w:r>
      <w:r w:rsidRPr="00323C8B">
        <w:t>NITIE registered for this course</w:t>
      </w:r>
      <w:r>
        <w:t>.</w:t>
      </w:r>
    </w:p>
    <w:p w14:paraId="0C050D90" w14:textId="77777777" w:rsidR="00323C8B" w:rsidRDefault="00323C8B" w:rsidP="00323C8B">
      <w:pPr>
        <w:tabs>
          <w:tab w:val="left" w:pos="1080"/>
          <w:tab w:val="left" w:pos="2160"/>
        </w:tabs>
        <w:jc w:val="both"/>
      </w:pPr>
    </w:p>
    <w:p w14:paraId="01D2A83E" w14:textId="38B1E77E" w:rsidR="00F66E3C" w:rsidRDefault="00F66E3C" w:rsidP="00860D80">
      <w:pPr>
        <w:tabs>
          <w:tab w:val="left" w:pos="1080"/>
          <w:tab w:val="left" w:pos="2160"/>
        </w:tabs>
      </w:pPr>
      <w:r>
        <w:t>P</w:t>
      </w:r>
      <w:r w:rsidRPr="00F66E3C">
        <w:t>articipants’ details are as follows</w:t>
      </w:r>
      <w:r>
        <w:t>:</w:t>
      </w:r>
    </w:p>
    <w:tbl>
      <w:tblPr>
        <w:tblW w:w="4020" w:type="dxa"/>
        <w:tblLook w:val="04A0" w:firstRow="1" w:lastRow="0" w:firstColumn="1" w:lastColumn="0" w:noHBand="0" w:noVBand="1"/>
      </w:tblPr>
      <w:tblGrid>
        <w:gridCol w:w="2540"/>
        <w:gridCol w:w="1480"/>
      </w:tblGrid>
      <w:tr w:rsidR="000F15BD" w:rsidRPr="000F15BD" w14:paraId="60B35C15" w14:textId="77777777" w:rsidTr="000F15BD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0BF3C4" w14:textId="77777777" w:rsidR="000F15BD" w:rsidRPr="000F15BD" w:rsidRDefault="000F15BD" w:rsidP="000F15BD">
            <w:pPr>
              <w:rPr>
                <w:b/>
                <w:bCs/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b/>
                <w:bCs/>
                <w:color w:val="000000"/>
                <w:sz w:val="22"/>
                <w:szCs w:val="22"/>
                <w:lang w:val="en-IN"/>
              </w:rPr>
              <w:t>Category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935867" w14:textId="77777777" w:rsidR="000F15BD" w:rsidRPr="000F15BD" w:rsidRDefault="000F15BD" w:rsidP="000F15BD">
            <w:pPr>
              <w:jc w:val="center"/>
              <w:rPr>
                <w:b/>
                <w:bCs/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b/>
                <w:bCs/>
                <w:color w:val="000000"/>
                <w:sz w:val="22"/>
                <w:szCs w:val="22"/>
                <w:lang w:val="en-IN"/>
              </w:rPr>
              <w:t>Count</w:t>
            </w:r>
          </w:p>
        </w:tc>
      </w:tr>
      <w:tr w:rsidR="000F15BD" w:rsidRPr="000F15BD" w14:paraId="28D68295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71FC" w14:textId="77777777" w:rsidR="000F15BD" w:rsidRPr="000F15BD" w:rsidRDefault="000F15BD" w:rsidP="000F15BD">
            <w:pPr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Domestic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104" w14:textId="77777777" w:rsidR="000F15BD" w:rsidRPr="000F15BD" w:rsidRDefault="000F15BD" w:rsidP="000F15BD">
            <w:pPr>
              <w:jc w:val="center"/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203</w:t>
            </w:r>
          </w:p>
        </w:tc>
      </w:tr>
      <w:tr w:rsidR="000F15BD" w:rsidRPr="000F15BD" w14:paraId="595C4FF5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696" w14:textId="77777777" w:rsidR="000F15BD" w:rsidRPr="000F15BD" w:rsidRDefault="000F15BD" w:rsidP="000F15BD">
            <w:pPr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Foreign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84C6" w14:textId="77777777" w:rsidR="000F15BD" w:rsidRPr="000F15BD" w:rsidRDefault="000F15BD" w:rsidP="000F15BD">
            <w:pPr>
              <w:jc w:val="center"/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9</w:t>
            </w:r>
          </w:p>
        </w:tc>
      </w:tr>
      <w:tr w:rsidR="000F15BD" w:rsidRPr="000F15BD" w14:paraId="3D25B34E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467" w14:textId="77777777" w:rsidR="000F15BD" w:rsidRPr="000F15BD" w:rsidRDefault="000F15BD" w:rsidP="000F15BD">
            <w:pPr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Student Bulk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CA90" w14:textId="77777777" w:rsidR="000F15BD" w:rsidRPr="000F15BD" w:rsidRDefault="000F15BD" w:rsidP="000F15BD">
            <w:pPr>
              <w:jc w:val="center"/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0F15BD" w:rsidRPr="000F15BD" w14:paraId="00E9264D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BA1" w14:textId="77777777" w:rsidR="000F15BD" w:rsidRPr="000F15BD" w:rsidRDefault="000F15BD" w:rsidP="000F15BD">
            <w:pPr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Company Bulk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8696" w14:textId="77777777" w:rsidR="000F15BD" w:rsidRPr="000F15BD" w:rsidRDefault="000F15BD" w:rsidP="000F15BD">
            <w:pPr>
              <w:jc w:val="center"/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0F15BD" w:rsidRPr="000F15BD" w14:paraId="69F885FA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0A8E" w14:textId="77777777" w:rsidR="000F15BD" w:rsidRPr="000F15BD" w:rsidRDefault="000F15BD" w:rsidP="000F15BD">
            <w:pPr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Refunds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E01" w14:textId="77777777" w:rsidR="000F15BD" w:rsidRPr="000F15BD" w:rsidRDefault="000F15BD" w:rsidP="000F15BD">
            <w:pPr>
              <w:jc w:val="center"/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-1</w:t>
            </w:r>
          </w:p>
        </w:tc>
      </w:tr>
      <w:tr w:rsidR="000F15BD" w:rsidRPr="000F15BD" w14:paraId="07562BBE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38C698" w14:textId="77777777" w:rsidR="000F15BD" w:rsidRPr="000F15BD" w:rsidRDefault="000F15BD" w:rsidP="000F15BD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  <w:t>Paid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27C24F" w14:textId="77777777" w:rsidR="000F15BD" w:rsidRPr="000F15BD" w:rsidRDefault="000F15BD" w:rsidP="000F15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  <w:t>276</w:t>
            </w:r>
          </w:p>
        </w:tc>
      </w:tr>
      <w:tr w:rsidR="000F15BD" w:rsidRPr="000F15BD" w14:paraId="089AE38B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FBD" w14:textId="77777777" w:rsidR="000F15BD" w:rsidRPr="000F15BD" w:rsidRDefault="000F15BD" w:rsidP="000F15BD">
            <w:pPr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 xml:space="preserve">Free </w:t>
            </w:r>
            <w:proofErr w:type="spellStart"/>
            <w:r w:rsidRPr="000F15BD">
              <w:rPr>
                <w:color w:val="000000"/>
                <w:sz w:val="22"/>
                <w:szCs w:val="22"/>
                <w:lang w:val="en-IN"/>
              </w:rPr>
              <w:t>Reg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37B" w14:textId="77777777" w:rsidR="000F15BD" w:rsidRPr="000F15BD" w:rsidRDefault="000F15BD" w:rsidP="000F15BD">
            <w:pPr>
              <w:jc w:val="center"/>
              <w:rPr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color w:val="000000"/>
                <w:sz w:val="22"/>
                <w:szCs w:val="22"/>
                <w:lang w:val="en-IN"/>
              </w:rPr>
              <w:t>1425</w:t>
            </w:r>
          </w:p>
        </w:tc>
      </w:tr>
      <w:tr w:rsidR="000F15BD" w:rsidRPr="000F15BD" w14:paraId="28CB5232" w14:textId="77777777" w:rsidTr="000F15BD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9180544" w14:textId="77777777" w:rsidR="000F15BD" w:rsidRPr="000F15BD" w:rsidRDefault="000F15BD" w:rsidP="000F15BD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  <w:t>Grand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8EDD43" w14:textId="77777777" w:rsidR="000F15BD" w:rsidRPr="000F15BD" w:rsidRDefault="000F15BD" w:rsidP="000F15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</w:pPr>
            <w:r w:rsidRPr="000F15BD">
              <w:rPr>
                <w:b/>
                <w:bCs/>
                <w:i/>
                <w:iCs/>
                <w:color w:val="000000"/>
                <w:sz w:val="22"/>
                <w:szCs w:val="22"/>
                <w:lang w:val="en-IN"/>
              </w:rPr>
              <w:t>1701</w:t>
            </w:r>
          </w:p>
        </w:tc>
      </w:tr>
    </w:tbl>
    <w:p w14:paraId="4651173D" w14:textId="44D6C034" w:rsidR="00860D80" w:rsidRPr="003C414F" w:rsidRDefault="00860D80" w:rsidP="00860D80">
      <w:pPr>
        <w:tabs>
          <w:tab w:val="left" w:pos="1080"/>
          <w:tab w:val="left" w:pos="2160"/>
        </w:tabs>
        <w:rPr>
          <w:b/>
        </w:rPr>
      </w:pPr>
    </w:p>
    <w:p w14:paraId="2FF55FD2" w14:textId="62BECDD7" w:rsidR="00860D80" w:rsidRDefault="00860D80" w:rsidP="00860D80">
      <w:pPr>
        <w:jc w:val="both"/>
        <w:rPr>
          <w:b/>
        </w:rPr>
      </w:pPr>
    </w:p>
    <w:p w14:paraId="4CEB8E77" w14:textId="2316FD7C" w:rsidR="00284CB3" w:rsidRDefault="00284CB3" w:rsidP="00860D80">
      <w:pPr>
        <w:jc w:val="both"/>
        <w:rPr>
          <w:b/>
        </w:rPr>
      </w:pPr>
      <w:r>
        <w:rPr>
          <w:b/>
          <w:noProof/>
          <w:lang w:val="en-IN"/>
        </w:rPr>
        <w:drawing>
          <wp:inline distT="0" distB="0" distL="0" distR="0" wp14:anchorId="0D0B80A3" wp14:editId="7B02522A">
            <wp:extent cx="5931535" cy="31330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F343" w14:textId="66587D2B" w:rsidR="005129CF" w:rsidRPr="00860D80" w:rsidRDefault="005129CF" w:rsidP="00860D80"/>
    <w:sectPr w:rsidR="005129CF" w:rsidRPr="00860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C30D" w14:textId="77777777" w:rsidR="00D84A69" w:rsidRDefault="00D84A69" w:rsidP="00CB72CE">
      <w:r>
        <w:separator/>
      </w:r>
    </w:p>
  </w:endnote>
  <w:endnote w:type="continuationSeparator" w:id="0">
    <w:p w14:paraId="2701EAA3" w14:textId="77777777" w:rsidR="00D84A69" w:rsidRDefault="00D84A69" w:rsidP="00CB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7DCE" w14:textId="77777777" w:rsidR="00CB72CE" w:rsidRDefault="00CB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4E76F" w14:textId="50F50607" w:rsidR="00CB72CE" w:rsidRDefault="00CB72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C21F24" w14:textId="77777777" w:rsidR="00CB72CE" w:rsidRDefault="00CB7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C58BC" w14:textId="77777777" w:rsidR="00CB72CE" w:rsidRDefault="00CB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B7A6" w14:textId="77777777" w:rsidR="00D84A69" w:rsidRDefault="00D84A69" w:rsidP="00CB72CE">
      <w:r>
        <w:separator/>
      </w:r>
    </w:p>
  </w:footnote>
  <w:footnote w:type="continuationSeparator" w:id="0">
    <w:p w14:paraId="76A7ADD1" w14:textId="77777777" w:rsidR="00D84A69" w:rsidRDefault="00D84A69" w:rsidP="00CB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AB94" w14:textId="77777777" w:rsidR="00CB72CE" w:rsidRDefault="00CB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65C4" w14:textId="77777777" w:rsidR="00CB72CE" w:rsidRDefault="00CB7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62A1" w14:textId="77777777" w:rsidR="00CB72CE" w:rsidRDefault="00CB7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B4D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8D9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AB3"/>
    <w:multiLevelType w:val="hybridMultilevel"/>
    <w:tmpl w:val="051089B0"/>
    <w:lvl w:ilvl="0" w:tplc="A2E8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2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C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EB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0F5DC7"/>
    <w:multiLevelType w:val="hybridMultilevel"/>
    <w:tmpl w:val="1848D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B0FCE"/>
    <w:multiLevelType w:val="hybridMultilevel"/>
    <w:tmpl w:val="EC4A51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36CBD"/>
    <w:multiLevelType w:val="multilevel"/>
    <w:tmpl w:val="C86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4461E"/>
    <w:multiLevelType w:val="hybridMultilevel"/>
    <w:tmpl w:val="3AE25980"/>
    <w:lvl w:ilvl="0" w:tplc="FF3AE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4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A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6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B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4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30173A"/>
    <w:multiLevelType w:val="hybridMultilevel"/>
    <w:tmpl w:val="9B106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MLQwNrY0NjMyNrdU0lEKTi0uzszPAykwrgUABV26ciwAAAA="/>
  </w:docVars>
  <w:rsids>
    <w:rsidRoot w:val="00E20D21"/>
    <w:rsid w:val="00001E88"/>
    <w:rsid w:val="000720F4"/>
    <w:rsid w:val="00072306"/>
    <w:rsid w:val="000D167C"/>
    <w:rsid w:val="000F15BD"/>
    <w:rsid w:val="00111C93"/>
    <w:rsid w:val="00165024"/>
    <w:rsid w:val="001935CD"/>
    <w:rsid w:val="001B5AE6"/>
    <w:rsid w:val="001C37B4"/>
    <w:rsid w:val="001D3C2B"/>
    <w:rsid w:val="001D7786"/>
    <w:rsid w:val="001E7FFE"/>
    <w:rsid w:val="001F65EA"/>
    <w:rsid w:val="00211BCA"/>
    <w:rsid w:val="00221796"/>
    <w:rsid w:val="00242921"/>
    <w:rsid w:val="002547D2"/>
    <w:rsid w:val="00284CB3"/>
    <w:rsid w:val="00285462"/>
    <w:rsid w:val="002A2C58"/>
    <w:rsid w:val="002A4A8F"/>
    <w:rsid w:val="002F0712"/>
    <w:rsid w:val="003075B8"/>
    <w:rsid w:val="00323C8B"/>
    <w:rsid w:val="00332D9F"/>
    <w:rsid w:val="003838BB"/>
    <w:rsid w:val="00392ECB"/>
    <w:rsid w:val="003C1E7D"/>
    <w:rsid w:val="003C2A2C"/>
    <w:rsid w:val="003C3ABC"/>
    <w:rsid w:val="00447847"/>
    <w:rsid w:val="004C19BC"/>
    <w:rsid w:val="004F4993"/>
    <w:rsid w:val="00502D36"/>
    <w:rsid w:val="005129CF"/>
    <w:rsid w:val="00542610"/>
    <w:rsid w:val="00584000"/>
    <w:rsid w:val="00590DAD"/>
    <w:rsid w:val="00592FF1"/>
    <w:rsid w:val="005D7494"/>
    <w:rsid w:val="006042C7"/>
    <w:rsid w:val="00666E77"/>
    <w:rsid w:val="00687EC3"/>
    <w:rsid w:val="006C3030"/>
    <w:rsid w:val="00743537"/>
    <w:rsid w:val="00765821"/>
    <w:rsid w:val="00775AAB"/>
    <w:rsid w:val="00786C47"/>
    <w:rsid w:val="00792FFE"/>
    <w:rsid w:val="0079434B"/>
    <w:rsid w:val="008062AC"/>
    <w:rsid w:val="00806CB8"/>
    <w:rsid w:val="00860D80"/>
    <w:rsid w:val="00872BED"/>
    <w:rsid w:val="00875007"/>
    <w:rsid w:val="00925EA8"/>
    <w:rsid w:val="009472E3"/>
    <w:rsid w:val="009B4C40"/>
    <w:rsid w:val="009D2D6C"/>
    <w:rsid w:val="009F1CC0"/>
    <w:rsid w:val="00A017EA"/>
    <w:rsid w:val="00AD5044"/>
    <w:rsid w:val="00AF7DAA"/>
    <w:rsid w:val="00B019B4"/>
    <w:rsid w:val="00B043E0"/>
    <w:rsid w:val="00B25595"/>
    <w:rsid w:val="00B37CF6"/>
    <w:rsid w:val="00B921EC"/>
    <w:rsid w:val="00BE357A"/>
    <w:rsid w:val="00C37CE8"/>
    <w:rsid w:val="00C87451"/>
    <w:rsid w:val="00C97C2E"/>
    <w:rsid w:val="00CA64F7"/>
    <w:rsid w:val="00CB72CE"/>
    <w:rsid w:val="00D30977"/>
    <w:rsid w:val="00D468F1"/>
    <w:rsid w:val="00D84A69"/>
    <w:rsid w:val="00D86CA4"/>
    <w:rsid w:val="00DA0619"/>
    <w:rsid w:val="00E130C0"/>
    <w:rsid w:val="00E20D21"/>
    <w:rsid w:val="00E7563D"/>
    <w:rsid w:val="00E82AC3"/>
    <w:rsid w:val="00E9257D"/>
    <w:rsid w:val="00EA3EC6"/>
    <w:rsid w:val="00EE1639"/>
    <w:rsid w:val="00EE2AFE"/>
    <w:rsid w:val="00F10BD0"/>
    <w:rsid w:val="00F6188B"/>
    <w:rsid w:val="00F61DC7"/>
    <w:rsid w:val="00F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0E58"/>
  <w15:chartTrackingRefBased/>
  <w15:docId w15:val="{7A9BC4D0-2038-46AB-900F-DA5E954B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3E0"/>
    <w:pPr>
      <w:spacing w:before="100" w:beforeAutospacing="1" w:after="100" w:afterAutospacing="1"/>
    </w:pPr>
  </w:style>
  <w:style w:type="character" w:customStyle="1" w:styleId="im">
    <w:name w:val="im"/>
    <w:basedOn w:val="DefaultParagraphFont"/>
    <w:rsid w:val="00B043E0"/>
  </w:style>
  <w:style w:type="paragraph" w:styleId="NoSpacing">
    <w:name w:val="No Spacing"/>
    <w:uiPriority w:val="1"/>
    <w:qFormat/>
    <w:rsid w:val="000D167C"/>
    <w:pPr>
      <w:spacing w:after="0" w:line="240" w:lineRule="auto"/>
    </w:pPr>
  </w:style>
  <w:style w:type="table" w:styleId="TableGrid">
    <w:name w:val="Table Grid"/>
    <w:basedOn w:val="TableNormal"/>
    <w:uiPriority w:val="39"/>
    <w:rsid w:val="0054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A8F"/>
    <w:pPr>
      <w:tabs>
        <w:tab w:val="center" w:pos="4513"/>
        <w:tab w:val="right" w:pos="9026"/>
      </w:tabs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2A4A8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B7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2CE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Jadav</dc:creator>
  <cp:keywords/>
  <dc:description/>
  <cp:lastModifiedBy>Lenovo</cp:lastModifiedBy>
  <cp:revision>35</cp:revision>
  <cp:lastPrinted>2022-11-30T05:13:00Z</cp:lastPrinted>
  <dcterms:created xsi:type="dcterms:W3CDTF">2022-11-30T05:16:00Z</dcterms:created>
  <dcterms:modified xsi:type="dcterms:W3CDTF">2022-11-30T08:46:00Z</dcterms:modified>
</cp:coreProperties>
</file>