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Title- </w:t>
      </w:r>
    </w:p>
    <w:p w:rsidR="00000000" w:rsidDel="00000000" w:rsidP="00000000" w:rsidRDefault="00000000" w:rsidRPr="00000000" w14:paraId="00000002">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Visit of Prof. Stuart Hameroff, University of Arizona, United States, to the iHub office</w:t>
      </w:r>
    </w:p>
    <w:p w:rsidR="00000000" w:rsidDel="00000000" w:rsidP="00000000" w:rsidRDefault="00000000" w:rsidRPr="00000000" w14:paraId="0000000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Description-</w:t>
      </w:r>
    </w:p>
    <w:p w:rsidR="00000000" w:rsidDel="00000000" w:rsidP="00000000" w:rsidRDefault="00000000" w:rsidRPr="00000000" w14:paraId="00000006">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color w:val="262626"/>
          <w:sz w:val="24"/>
          <w:szCs w:val="24"/>
          <w:highlight w:val="white"/>
        </w:rPr>
      </w:pPr>
      <w:r w:rsidDel="00000000" w:rsidR="00000000" w:rsidRPr="00000000">
        <w:rPr>
          <w:rFonts w:ascii="Roboto" w:cs="Roboto" w:eastAsia="Roboto" w:hAnsi="Roboto"/>
          <w:color w:val="262626"/>
          <w:sz w:val="24"/>
          <w:szCs w:val="24"/>
          <w:highlight w:val="white"/>
          <w:rtl w:val="0"/>
        </w:rPr>
        <w:t xml:space="preserve">Prof. Stuart Hameroff, Co-Founder, Director of the Center for Consciousness Studies, Co-Chair, The Science of Consciousness, Professor Emeritus, Departments of Anesthesiology and Psychology, University of Arizona, United States, along with Mr. Hide Saegusa, University of Tokyo, visited the IIT Mandi iHub and HCI Foundation office on the 9th of December, 2022. The synergies between his field of research, namely Quantum Consciousness, resonate with the Brain-Computer Interface focus area of iHub, which is the domain of Human-Computer Interaction (HCI). During the visit, Prof. Hameroff took a first-hand experience of immersive guided meditation and driving simulator stationed at the Experience Center of iHub.</w:t>
      </w:r>
    </w:p>
    <w:p w:rsidR="00000000" w:rsidDel="00000000" w:rsidP="00000000" w:rsidRDefault="00000000" w:rsidRPr="00000000" w14:paraId="00000008">
      <w:pPr>
        <w:jc w:val="both"/>
        <w:rPr>
          <w:rFonts w:ascii="Roboto" w:cs="Roboto" w:eastAsia="Roboto" w:hAnsi="Roboto"/>
          <w:color w:val="262626"/>
          <w:sz w:val="24"/>
          <w:szCs w:val="24"/>
          <w:highlight w:val="white"/>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color w:val="262626"/>
          <w:sz w:val="24"/>
          <w:szCs w:val="24"/>
          <w:highlight w:val="white"/>
        </w:rPr>
      </w:pPr>
      <w:r w:rsidDel="00000000" w:rsidR="00000000" w:rsidRPr="00000000">
        <w:rPr>
          <w:rFonts w:ascii="Roboto" w:cs="Roboto" w:eastAsia="Roboto" w:hAnsi="Roboto"/>
          <w:color w:val="262626"/>
          <w:sz w:val="24"/>
          <w:szCs w:val="24"/>
          <w:highlight w:val="white"/>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both"/>
        <w:rPr>
          <w:rFonts w:ascii="Roboto" w:cs="Roboto" w:eastAsia="Roboto" w:hAnsi="Roboto"/>
          <w:color w:val="262626"/>
          <w:sz w:val="24"/>
          <w:szCs w:val="24"/>
          <w:highlight w:val="white"/>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color w:val="262626"/>
          <w:sz w:val="24"/>
          <w:szCs w:val="24"/>
          <w:highlight w:val="white"/>
        </w:rPr>
      </w:pPr>
      <w:r w:rsidDel="00000000" w:rsidR="00000000" w:rsidRPr="00000000">
        <w:rPr>
          <w:rFonts w:ascii="Roboto" w:cs="Roboto" w:eastAsia="Roboto" w:hAnsi="Roboto"/>
          <w:color w:val="262626"/>
          <w:sz w:val="24"/>
          <w:szCs w:val="24"/>
          <w:highlight w:val="white"/>
        </w:rPr>
        <w:drawing>
          <wp:inline distB="114300" distT="114300" distL="114300" distR="114300">
            <wp:extent cx="5731200" cy="85979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85979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