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Bank Account Details of IIT KHARAGPUR AI4ICPS I HUB FOUNDATION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Bank Name: State Bank of India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Bank Branch: Kharagpur Technology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Branch Address: Kharagpur Technology, PIN 721302, Dist. Paschim Medinipur, West Bengal, India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Savings Account in SBI Kharagpur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Account Name: IIT KHARAGPUR AI4ICPS I HUB FOUNDATION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Account Number: 39899436692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Account Type: Savings Bank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Account Holder Name: Virendra Kumar Tewari and Sriman Kumar Bhattacharyya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IFSC: SBIN0000202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MICR: 721002103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PAN: AAFCI8971G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Account in SBI Kharagpur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Account Name: IIT KHARAGPUR AI4ICPS I HUB FOUNDATION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Account Number: 39899427189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Account Type: Current Account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Account Holder Name: Virendra Kumar Tewari and Sriman Kumar Bhattacharyya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IFSC: SBIN0000202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MICR: 721002103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PAN: AAFCI8971G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