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BF6D" w14:textId="77777777" w:rsidR="00683BA0" w:rsidRPr="00BB57D9" w:rsidRDefault="00683BA0" w:rsidP="00683BA0">
      <w:pPr>
        <w:rPr>
          <w:b/>
          <w:bCs/>
        </w:rPr>
      </w:pPr>
      <w:r w:rsidRPr="00BB57D9">
        <w:rPr>
          <w:b/>
          <w:bCs/>
          <w:sz w:val="24"/>
          <w:szCs w:val="24"/>
        </w:rPr>
        <w:t>Title:</w:t>
      </w:r>
    </w:p>
    <w:p w14:paraId="548C6C99" w14:textId="77777777" w:rsidR="00683BA0" w:rsidRPr="00472161" w:rsidRDefault="00683BA0" w:rsidP="00683BA0">
      <w:pPr>
        <w:rPr>
          <w:rFonts w:cstheme="minorHAnsi"/>
          <w:color w:val="1C1E21"/>
          <w:sz w:val="24"/>
          <w:szCs w:val="24"/>
          <w:shd w:val="clear" w:color="auto" w:fill="FFFFFF"/>
        </w:rPr>
      </w:pPr>
      <w:r w:rsidRPr="00472161">
        <w:rPr>
          <w:rFonts w:cstheme="minorHAnsi"/>
          <w:color w:val="1C1E21"/>
          <w:sz w:val="24"/>
          <w:szCs w:val="24"/>
          <w:shd w:val="clear" w:color="auto" w:fill="FFFFFF"/>
        </w:rPr>
        <w:t xml:space="preserve">Mr. Ravi </w:t>
      </w:r>
      <w:proofErr w:type="spellStart"/>
      <w:r w:rsidRPr="00472161">
        <w:rPr>
          <w:rFonts w:cstheme="minorHAnsi"/>
          <w:color w:val="1C1E21"/>
          <w:sz w:val="24"/>
          <w:szCs w:val="24"/>
          <w:shd w:val="clear" w:color="auto" w:fill="FFFFFF"/>
        </w:rPr>
        <w:t>Kanjolia</w:t>
      </w:r>
      <w:proofErr w:type="spellEnd"/>
      <w:r w:rsidRPr="00472161">
        <w:rPr>
          <w:rFonts w:cstheme="minorHAnsi"/>
          <w:color w:val="1C1E21"/>
          <w:sz w:val="24"/>
          <w:szCs w:val="24"/>
          <w:shd w:val="clear" w:color="auto" w:fill="FFFFFF"/>
        </w:rPr>
        <w:t>, Technology Fellow, EMD Electronics, Merck USA, and Mr. Abhishek Agrawal, Director, Strategy Department, EMD Electronics, Merck USA visited IIT Mandi iHub and HCI Foundation on 17th April 2023</w:t>
      </w:r>
    </w:p>
    <w:p w14:paraId="2A2F05AC" w14:textId="77777777" w:rsidR="00683BA0" w:rsidRDefault="00683BA0" w:rsidP="00683B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Description</w:t>
      </w:r>
      <w:r w:rsidRPr="00BB57D9">
        <w:rPr>
          <w:b/>
          <w:bCs/>
          <w:sz w:val="24"/>
          <w:szCs w:val="24"/>
        </w:rPr>
        <w:t>:</w:t>
      </w:r>
    </w:p>
    <w:p w14:paraId="68F95406" w14:textId="77777777" w:rsidR="00683BA0" w:rsidRDefault="00683BA0" w:rsidP="00683BA0">
      <w:pPr>
        <w:rPr>
          <w:rFonts w:cstheme="minorHAnsi"/>
          <w:color w:val="1C1E21"/>
          <w:sz w:val="24"/>
          <w:szCs w:val="24"/>
          <w:shd w:val="clear" w:color="auto" w:fill="FFFFFF"/>
        </w:rPr>
      </w:pPr>
      <w:r w:rsidRPr="00472161">
        <w:rPr>
          <w:rFonts w:cstheme="minorHAnsi"/>
          <w:color w:val="1C1E21"/>
          <w:sz w:val="24"/>
          <w:szCs w:val="24"/>
          <w:shd w:val="clear" w:color="auto" w:fill="FFFFFF"/>
        </w:rPr>
        <w:t> Merck Group, commonly known as Merck, is a Multinational Science and Technology Company. The company is broadly divided into three business lines: Healthcare, Life Sciences, and Electronics.</w:t>
      </w:r>
    </w:p>
    <w:p w14:paraId="40196164" w14:textId="77777777" w:rsidR="00683BA0" w:rsidRDefault="00683BA0" w:rsidP="00683BA0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8BA12CB" wp14:editId="056FCAF2">
            <wp:extent cx="4998720" cy="3337560"/>
            <wp:effectExtent l="0" t="0" r="0" b="0"/>
            <wp:docPr id="84180495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C9472F" wp14:editId="40BCA26D">
            <wp:extent cx="4998720" cy="3337560"/>
            <wp:effectExtent l="0" t="0" r="0" b="0"/>
            <wp:docPr id="1829967529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80D42" w14:textId="77777777" w:rsidR="00683BA0" w:rsidRDefault="00683BA0"/>
    <w:sectPr w:rsidR="00683B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A0"/>
    <w:rsid w:val="0068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85ADC"/>
  <w15:chartTrackingRefBased/>
  <w15:docId w15:val="{C9D4D2C9-5CFD-45CC-8AB3-F33FA95A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Sehgal</dc:creator>
  <cp:keywords/>
  <dc:description/>
  <cp:lastModifiedBy>Nidhi Sehgal</cp:lastModifiedBy>
  <cp:revision>1</cp:revision>
  <dcterms:created xsi:type="dcterms:W3CDTF">2023-09-05T10:30:00Z</dcterms:created>
  <dcterms:modified xsi:type="dcterms:W3CDTF">2023-09-05T10:31:00Z</dcterms:modified>
</cp:coreProperties>
</file>